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Security Deposit Itemization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Clear breakdown of deductions and remaining balance</w:t>
      </w:r>
    </w:p>
    <w:tbl>
      <w:tblPr>
        <w:tblW w:type="dxa" w:w="9360"/>
        <w:tblBorders>
          <w:top w:val="single" w:color="C00000" w:sz="8"/>
          <w:left w:val="single" w:color="C00000" w:sz="8"/>
          <w:bottom w:val="single" w:color="C00000" w:sz="8"/>
          <w:right w:val="single" w:color="C00000" w:sz="8"/>
          <w:insideH w:val="single" w:color="C00000" w:sz="8"/>
          <w:insideV w:val="single" w:color="C00000" w:sz="8"/>
        </w:tblBorders>
      </w:tblPr>
      <w:tblGrid>
        <w:gridCol w:w="9360"/>
      </w:tblGrid>
      <w:tr>
        <w:tc>
          <w:tcPr>
            <w:tcW w:type="dxa" w:w="9360"/>
            <w:shd w:fill="FDF2F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C00000"/>
                <w:sz w:val="18"/>
                <w:szCs w:val="18"/>
              </w:rPr>
              <w:t xml:space="preserve">IMPORTANT — NOT LEGAL ADVICE: This is a general template, not legal advice. Notice content, timing, and delivery requirements vary by state and locality. Consult a licensed attorney and confirm your jurisdiction’s rules before using or serving this document.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Tenant(s):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Move-out 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Forwarding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Security deposit held: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Date deposit received: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Itemized deductions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7360"/>
        <w:gridCol w:w="2000"/>
      </w:tblGrid>
      <w:tr>
        <w:trPr>
          <w:tblHeader/>
        </w:trPr>
        <w:tc>
          <w:tcPr>
            <w:tcW w:type="dxa" w:w="736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Description of deduction</w:t>
            </w:r>
          </w:p>
        </w:tc>
        <w:tc>
          <w:tcPr>
            <w:tcW w:type="dxa" w:w="200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dxa" w:w="7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7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7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7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7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7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7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7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Total deductions: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Amount refunded to tenant: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Balance owed by tenant (if any):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Many states require the landlord to return the deposit and/or this itemized statement within a set number of days after move-out (often 14–30 days) once the tenant provides a forwarding address. Confirm your state’s deadline and rules.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Signatures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Landlord: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  Date: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Security Deposit Itemization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2026-06-07T19:21:12.139Z</dcterms:created>
  <dcterms:modified xsi:type="dcterms:W3CDTF">2026-06-07T19:21:12.140Z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